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Secretaria Municipal de Coordenação Regional e Serviços Públicos atenção especial, no sentido de realizar serviços de capinação </w:t>
      </w:r>
      <w:r>
        <w:rPr>
          <w:rFonts w:ascii="Arial" w:hAnsi="Arial"/>
        </w:rPr>
        <w:t>na Rua 17, Ponte dos Carvalhos.</w:t>
      </w:r>
    </w:p>
    <w:p>
      <w:pPr>
        <w:pStyle w:val="Normal"/>
        <w:spacing w:lineRule="auto" w:line="360"/>
        <w:ind w:firstLine="70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ab/>
        <w:t>É importante que a manutenção das vias seja feita, de modo a proporcionar à população logradouros e espaços públicos adequados, com bom estado de conservação. Dessa forma, para que o local não seja tomado pelo mato que cresce rapidamente, é necessário que se mantenha periodicamente o serviço de capinação na região.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 xml:space="preserve">Sala das Sessões, </w:t>
      </w:r>
      <w:r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1</Pages>
  <Words>108</Words>
  <Characters>587</Characters>
  <CharactersWithSpaces>701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2021-07-05T13:01:00Z</dcterms:created>
  <dc:creator>Rafael Camilo</dc:creator>
  <dc:description/>
  <dc:language>pt-BR</dc:language>
  <cp:lastModifiedBy/>
  <cp:lastPrinted>2020-01-21T11:59:00Z</cp:lastPrinted>
  <dcterms:modified xsi:type="dcterms:W3CDTF">2022-02-07T22:38:06Z</dcterms:modified>
  <cp:revision>10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